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97" w:rsidRDefault="00963E97">
      <w:pPr>
        <w:spacing w:line="360" w:lineRule="auto"/>
        <w:jc w:val="center"/>
        <w:rPr>
          <w:rFonts w:ascii="Times New Roman" w:eastAsia="宋体" w:hAnsi="Times New Roman" w:cs="Times New Roman"/>
          <w:sz w:val="24"/>
          <w:szCs w:val="24"/>
        </w:rPr>
      </w:pPr>
    </w:p>
    <w:p w:rsidR="00963E97" w:rsidRDefault="00DD286C">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w:t>
      </w:r>
      <w:r w:rsidR="00EE143F">
        <w:rPr>
          <w:rFonts w:ascii="Times New Roman" w:eastAsia="宋体" w:hAnsi="Times New Roman" w:cs="Times New Roman" w:hint="eastAsia"/>
          <w:b/>
          <w:sz w:val="30"/>
          <w:szCs w:val="30"/>
        </w:rPr>
        <w:t>20</w:t>
      </w:r>
      <w:r>
        <w:rPr>
          <w:rFonts w:ascii="Times New Roman" w:eastAsia="宋体" w:hAnsi="Times New Roman" w:cs="Times New Roman"/>
          <w:b/>
          <w:sz w:val="30"/>
          <w:szCs w:val="30"/>
        </w:rPr>
        <w:t>年</w:t>
      </w:r>
      <w:r w:rsidR="00C5237E">
        <w:rPr>
          <w:rFonts w:ascii="Times New Roman" w:eastAsia="宋体" w:hAnsi="Times New Roman" w:cs="Times New Roman" w:hint="eastAsia"/>
          <w:b/>
          <w:sz w:val="30"/>
          <w:szCs w:val="30"/>
        </w:rPr>
        <w:t>3</w:t>
      </w:r>
      <w:r>
        <w:rPr>
          <w:rFonts w:ascii="Times New Roman" w:eastAsia="宋体" w:hAnsi="Times New Roman" w:cs="Times New Roman"/>
          <w:b/>
          <w:sz w:val="30"/>
          <w:szCs w:val="30"/>
        </w:rPr>
        <w:t>月）</w:t>
      </w:r>
    </w:p>
    <w:p w:rsidR="00963E97" w:rsidRDefault="00963E97">
      <w:pPr>
        <w:spacing w:line="360" w:lineRule="auto"/>
        <w:jc w:val="center"/>
        <w:rPr>
          <w:rFonts w:ascii="Times New Roman" w:eastAsia="宋体" w:hAnsi="Times New Roman" w:cs="Times New Roman"/>
          <w:b/>
          <w:sz w:val="30"/>
          <w:szCs w:val="30"/>
        </w:rPr>
      </w:pP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w:t>
      </w:r>
      <w:r w:rsidR="00EE143F">
        <w:rPr>
          <w:rFonts w:ascii="Times New Roman" w:eastAsia="宋体" w:hAnsi="Times New Roman" w:cs="Times New Roman" w:hint="eastAsia"/>
          <w:b/>
          <w:sz w:val="24"/>
          <w:szCs w:val="24"/>
        </w:rPr>
        <w:t>20</w:t>
      </w:r>
      <w:r>
        <w:rPr>
          <w:rFonts w:ascii="Times New Roman" w:eastAsia="宋体" w:hAnsi="Times New Roman" w:cs="Times New Roman" w:hint="eastAsia"/>
          <w:b/>
          <w:sz w:val="24"/>
          <w:szCs w:val="24"/>
        </w:rPr>
        <w:t>年</w:t>
      </w:r>
      <w:r w:rsidR="00C5237E">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月，加总的基于增加值人民币有效汇率上月环比</w:t>
      </w:r>
      <w:r w:rsidR="00EE143F">
        <w:rPr>
          <w:rFonts w:ascii="Times New Roman" w:eastAsia="宋体" w:hAnsi="Times New Roman" w:cs="Times New Roman" w:hint="eastAsia"/>
          <w:b/>
          <w:sz w:val="24"/>
          <w:szCs w:val="24"/>
        </w:rPr>
        <w:t>升值</w:t>
      </w:r>
      <w:r w:rsidR="001C2CCA">
        <w:rPr>
          <w:rFonts w:ascii="Times New Roman" w:eastAsia="宋体" w:hAnsi="Times New Roman" w:cs="Times New Roman" w:hint="eastAsia"/>
          <w:b/>
          <w:sz w:val="24"/>
          <w:szCs w:val="24"/>
        </w:rPr>
        <w:t>1.34</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6C0701">
        <w:rPr>
          <w:rFonts w:ascii="Times New Roman" w:eastAsia="宋体" w:hAnsi="Times New Roman" w:cs="Times New Roman" w:hint="eastAsia"/>
          <w:b/>
          <w:sz w:val="24"/>
          <w:szCs w:val="24"/>
        </w:rPr>
        <w:t>1.</w:t>
      </w:r>
      <w:r w:rsidR="001C2CCA">
        <w:rPr>
          <w:rFonts w:ascii="Times New Roman" w:eastAsia="宋体" w:hAnsi="Times New Roman" w:cs="Times New Roman" w:hint="eastAsia"/>
          <w:b/>
          <w:sz w:val="24"/>
          <w:szCs w:val="24"/>
        </w:rPr>
        <w:t>10</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w:t>
      </w:r>
      <w:r w:rsidR="00EE143F">
        <w:rPr>
          <w:rFonts w:ascii="Times New Roman" w:eastAsia="宋体" w:hAnsi="Times New Roman" w:cs="Times New Roman" w:hint="eastAsia"/>
          <w:sz w:val="24"/>
          <w:szCs w:val="24"/>
        </w:rPr>
        <w:t>升值</w:t>
      </w:r>
      <w:r w:rsidR="001C2CCA">
        <w:rPr>
          <w:rFonts w:ascii="Times New Roman" w:eastAsia="宋体" w:hAnsi="Times New Roman" w:cs="Times New Roman" w:hint="eastAsia"/>
          <w:sz w:val="24"/>
          <w:szCs w:val="24"/>
        </w:rPr>
        <w:t>1.13</w:t>
      </w:r>
      <w:r w:rsidR="00EE143F">
        <w:rPr>
          <w:rFonts w:ascii="Times New Roman" w:eastAsia="宋体" w:hAnsi="Times New Roman" w:cs="Times New Roman" w:hint="eastAsia"/>
          <w:sz w:val="24"/>
          <w:szCs w:val="24"/>
        </w:rPr>
        <w:t>%</w:t>
      </w:r>
      <w:r>
        <w:rPr>
          <w:rFonts w:ascii="Times New Roman" w:eastAsia="宋体" w:hAnsi="Times New Roman" w:cs="Times New Roman"/>
          <w:sz w:val="24"/>
          <w:szCs w:val="24"/>
        </w:rPr>
        <w:t>，上年同比贬值</w:t>
      </w:r>
      <w:r w:rsidR="001C2CCA">
        <w:rPr>
          <w:rFonts w:ascii="Times New Roman" w:eastAsia="宋体" w:hAnsi="Times New Roman" w:cs="Times New Roman" w:hint="eastAsia"/>
          <w:sz w:val="24"/>
          <w:szCs w:val="24"/>
        </w:rPr>
        <w:t>1.30</w:t>
      </w:r>
      <w:r>
        <w:rPr>
          <w:rFonts w:ascii="Times New Roman" w:eastAsia="宋体" w:hAnsi="Times New Roman" w:cs="Times New Roman"/>
          <w:sz w:val="24"/>
          <w:szCs w:val="24"/>
        </w:rPr>
        <w:t>%</w:t>
      </w:r>
      <w:r>
        <w:rPr>
          <w:rFonts w:ascii="Times New Roman" w:eastAsia="宋体" w:hAnsi="Times New Roman" w:cs="Times New Roman"/>
          <w:sz w:val="24"/>
          <w:szCs w:val="24"/>
        </w:rPr>
        <w:t>，增加值有效汇率</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BIS</w:t>
      </w:r>
      <w:r>
        <w:rPr>
          <w:rFonts w:ascii="Times New Roman" w:eastAsia="宋体" w:hAnsi="Times New Roman" w:cs="Times New Roman" w:hint="eastAsia"/>
          <w:sz w:val="24"/>
          <w:szCs w:val="24"/>
        </w:rPr>
        <w:t>有效汇率走势整体基本相当</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其他代表性传统汇率走势如下：</w:t>
      </w:r>
      <w:r>
        <w:rPr>
          <w:rFonts w:ascii="Times New Roman" w:eastAsia="宋体" w:hAnsi="Times New Roman" w:cs="Times New Roman"/>
          <w:sz w:val="24"/>
          <w:szCs w:val="24"/>
        </w:rPr>
        <w:t>BIS</w:t>
      </w:r>
      <w:r>
        <w:rPr>
          <w:rFonts w:ascii="Times New Roman" w:eastAsia="宋体" w:hAnsi="Times New Roman" w:cs="Times New Roman"/>
          <w:sz w:val="24"/>
          <w:szCs w:val="24"/>
        </w:rPr>
        <w:t>人民币实际有效汇率上月环比</w:t>
      </w:r>
      <w:r w:rsidR="001C2CCA">
        <w:rPr>
          <w:rFonts w:ascii="Times New Roman" w:eastAsia="宋体" w:hAnsi="Times New Roman" w:cs="Times New Roman" w:hint="eastAsia"/>
          <w:sz w:val="24"/>
          <w:szCs w:val="24"/>
        </w:rPr>
        <w:t>贬值</w:t>
      </w:r>
      <w:r w:rsidR="001C2CCA">
        <w:rPr>
          <w:rFonts w:ascii="Times New Roman" w:eastAsia="宋体" w:hAnsi="Times New Roman" w:cs="Times New Roman" w:hint="eastAsia"/>
          <w:sz w:val="24"/>
          <w:szCs w:val="24"/>
        </w:rPr>
        <w:t>0.19</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sidR="006C0701">
        <w:rPr>
          <w:rFonts w:ascii="Times New Roman" w:eastAsia="宋体" w:hAnsi="Times New Roman" w:cs="Times New Roman" w:hint="eastAsia"/>
          <w:sz w:val="24"/>
          <w:szCs w:val="24"/>
        </w:rPr>
        <w:t>升值</w:t>
      </w:r>
      <w:r w:rsidR="006C0701">
        <w:rPr>
          <w:rFonts w:ascii="Times New Roman" w:eastAsia="宋体" w:hAnsi="Times New Roman" w:cs="Times New Roman" w:hint="eastAsia"/>
          <w:sz w:val="24"/>
          <w:szCs w:val="24"/>
        </w:rPr>
        <w:t>1.4</w:t>
      </w:r>
      <w:r w:rsidR="001C2CCA">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 xml:space="preserve">CFETS </w:t>
      </w:r>
      <w:r>
        <w:rPr>
          <w:rFonts w:ascii="Times New Roman" w:eastAsia="宋体" w:hAnsi="Times New Roman" w:cs="Times New Roman"/>
          <w:sz w:val="24"/>
          <w:szCs w:val="24"/>
        </w:rPr>
        <w:t>货币篮子人民币汇率指数上月环比</w:t>
      </w:r>
      <w:r w:rsidR="00EE143F">
        <w:rPr>
          <w:rFonts w:ascii="Times New Roman" w:eastAsia="宋体" w:hAnsi="Times New Roman" w:cs="Times New Roman" w:hint="eastAsia"/>
          <w:sz w:val="24"/>
          <w:szCs w:val="24"/>
        </w:rPr>
        <w:t>升值</w:t>
      </w:r>
      <w:r w:rsidR="001C2CCA">
        <w:rPr>
          <w:rFonts w:ascii="Times New Roman" w:eastAsia="宋体" w:hAnsi="Times New Roman" w:cs="Times New Roman" w:hint="eastAsia"/>
          <w:sz w:val="24"/>
          <w:szCs w:val="24"/>
        </w:rPr>
        <w:t>1.02</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1C2CCA">
        <w:rPr>
          <w:rFonts w:ascii="Times New Roman" w:eastAsia="宋体" w:hAnsi="Times New Roman" w:cs="Times New Roman" w:hint="eastAsia"/>
          <w:sz w:val="24"/>
          <w:szCs w:val="24"/>
        </w:rPr>
        <w:t>1.03</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SDR</w:t>
      </w:r>
      <w:r>
        <w:rPr>
          <w:rFonts w:ascii="Times New Roman" w:eastAsia="宋体" w:hAnsi="Times New Roman" w:cs="Times New Roman"/>
          <w:sz w:val="24"/>
          <w:szCs w:val="24"/>
        </w:rPr>
        <w:t>货币篮子人民币指数上月环比</w:t>
      </w:r>
      <w:r w:rsidR="006C0701">
        <w:rPr>
          <w:rFonts w:ascii="Times New Roman" w:eastAsia="宋体" w:hAnsi="Times New Roman" w:cs="Times New Roman" w:hint="eastAsia"/>
          <w:sz w:val="24"/>
          <w:szCs w:val="24"/>
        </w:rPr>
        <w:t>贬值</w:t>
      </w:r>
      <w:r w:rsidR="001C2CCA">
        <w:rPr>
          <w:rFonts w:ascii="Times New Roman" w:eastAsia="宋体" w:hAnsi="Times New Roman" w:cs="Times New Roman" w:hint="eastAsia"/>
          <w:sz w:val="24"/>
          <w:szCs w:val="24"/>
        </w:rPr>
        <w:t>0.94</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1C2CCA">
        <w:rPr>
          <w:rFonts w:ascii="Times New Roman" w:eastAsia="宋体" w:hAnsi="Times New Roman" w:cs="Times New Roman" w:hint="eastAsia"/>
          <w:sz w:val="24"/>
          <w:szCs w:val="24"/>
        </w:rPr>
        <w:t>4.07</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基于增加值人民币有效汇率</w:t>
      </w:r>
      <w:r w:rsidR="00EE143F">
        <w:rPr>
          <w:rFonts w:ascii="Times New Roman" w:eastAsia="宋体" w:hAnsi="Times New Roman" w:cs="Times New Roman" w:hint="eastAsia"/>
          <w:sz w:val="24"/>
          <w:szCs w:val="24"/>
        </w:rPr>
        <w:t>环比升</w:t>
      </w:r>
      <w:r>
        <w:rPr>
          <w:rFonts w:ascii="Times New Roman" w:eastAsia="宋体" w:hAnsi="Times New Roman" w:cs="Times New Roman" w:hint="eastAsia"/>
          <w:sz w:val="24"/>
          <w:szCs w:val="24"/>
        </w:rPr>
        <w:t>值幅度</w:t>
      </w:r>
      <w:r w:rsidR="006C0701">
        <w:rPr>
          <w:rFonts w:ascii="Times New Roman" w:eastAsia="宋体" w:hAnsi="Times New Roman" w:cs="Times New Roman" w:hint="eastAsia"/>
          <w:sz w:val="24"/>
          <w:szCs w:val="24"/>
        </w:rPr>
        <w:t>略</w:t>
      </w:r>
      <w:r w:rsidR="001C2CCA">
        <w:rPr>
          <w:rFonts w:ascii="Times New Roman" w:eastAsia="宋体" w:hAnsi="Times New Roman" w:cs="Times New Roman" w:hint="eastAsia"/>
          <w:sz w:val="24"/>
          <w:szCs w:val="24"/>
        </w:rPr>
        <w:t>高于</w:t>
      </w:r>
      <w:r>
        <w:rPr>
          <w:rFonts w:ascii="Times New Roman" w:eastAsia="宋体" w:hAnsi="Times New Roman" w:cs="Times New Roman" w:hint="eastAsia"/>
          <w:sz w:val="24"/>
          <w:szCs w:val="24"/>
        </w:rPr>
        <w:t>BIS</w:t>
      </w:r>
      <w:r>
        <w:rPr>
          <w:rFonts w:ascii="Times New Roman" w:eastAsia="宋体" w:hAnsi="Times New Roman" w:cs="Times New Roman" w:hint="eastAsia"/>
          <w:sz w:val="24"/>
          <w:szCs w:val="24"/>
        </w:rPr>
        <w:t>与主要篮子货币</w:t>
      </w:r>
      <w:r w:rsidR="00EE143F">
        <w:rPr>
          <w:rFonts w:ascii="Times New Roman" w:eastAsia="宋体" w:hAnsi="Times New Roman" w:cs="Times New Roman" w:hint="eastAsia"/>
          <w:sz w:val="24"/>
          <w:szCs w:val="24"/>
        </w:rPr>
        <w:t>，同比贬值幅度</w:t>
      </w:r>
      <w:r w:rsidR="006C0701">
        <w:rPr>
          <w:rFonts w:ascii="Times New Roman" w:eastAsia="宋体" w:hAnsi="Times New Roman" w:cs="Times New Roman" w:hint="eastAsia"/>
          <w:sz w:val="24"/>
          <w:szCs w:val="24"/>
        </w:rPr>
        <w:t>介于</w:t>
      </w:r>
      <w:r w:rsidR="00EE143F">
        <w:rPr>
          <w:rFonts w:ascii="Times New Roman" w:eastAsia="宋体" w:hAnsi="Times New Roman" w:cs="Times New Roman" w:hint="eastAsia"/>
          <w:sz w:val="24"/>
          <w:szCs w:val="24"/>
        </w:rPr>
        <w:t>于</w:t>
      </w:r>
      <w:r w:rsidR="00EE143F">
        <w:rPr>
          <w:rFonts w:ascii="Times New Roman" w:eastAsia="宋体" w:hAnsi="Times New Roman" w:cs="Times New Roman" w:hint="eastAsia"/>
          <w:sz w:val="24"/>
          <w:szCs w:val="24"/>
        </w:rPr>
        <w:t>BIS</w:t>
      </w:r>
      <w:r w:rsidR="00EE143F">
        <w:rPr>
          <w:rFonts w:ascii="Times New Roman" w:eastAsia="宋体" w:hAnsi="Times New Roman" w:cs="Times New Roman" w:hint="eastAsia"/>
          <w:sz w:val="24"/>
          <w:szCs w:val="24"/>
        </w:rPr>
        <w:t>与主要篮子货币</w:t>
      </w:r>
      <w:r w:rsidR="006C0701">
        <w:rPr>
          <w:rFonts w:ascii="Times New Roman" w:eastAsia="宋体" w:hAnsi="Times New Roman" w:cs="Times New Roman" w:hint="eastAsia"/>
          <w:sz w:val="24"/>
          <w:szCs w:val="24"/>
        </w:rPr>
        <w:t>之间</w:t>
      </w:r>
      <w:r w:rsidR="00EE143F">
        <w:rPr>
          <w:rFonts w:ascii="Times New Roman" w:eastAsia="宋体" w:hAnsi="Times New Roman" w:cs="Times New Roman" w:hint="eastAsia"/>
          <w:sz w:val="24"/>
          <w:szCs w:val="24"/>
        </w:rPr>
        <w:t>。</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可贸易品有效汇率上月</w:t>
      </w:r>
      <w:r w:rsidR="00EE143F">
        <w:rPr>
          <w:rFonts w:ascii="Times New Roman" w:eastAsia="宋体" w:hAnsi="Times New Roman" w:cs="Times New Roman" w:hint="eastAsia"/>
          <w:sz w:val="24"/>
          <w:szCs w:val="24"/>
        </w:rPr>
        <w:t>升值</w:t>
      </w:r>
      <w:r w:rsidR="006C0701">
        <w:rPr>
          <w:rFonts w:ascii="Times New Roman" w:eastAsia="宋体" w:hAnsi="Times New Roman" w:cs="Times New Roman" w:hint="eastAsia"/>
          <w:sz w:val="24"/>
          <w:szCs w:val="24"/>
        </w:rPr>
        <w:t>0.</w:t>
      </w:r>
      <w:r w:rsidR="004C61F1">
        <w:rPr>
          <w:rFonts w:ascii="Times New Roman" w:eastAsia="宋体" w:hAnsi="Times New Roman" w:cs="Times New Roman" w:hint="eastAsia"/>
          <w:sz w:val="24"/>
          <w:szCs w:val="24"/>
        </w:rPr>
        <w:t>7</w:t>
      </w:r>
      <w:r w:rsidR="006C0701">
        <w:rPr>
          <w:rFonts w:ascii="Times New Roman" w:eastAsia="宋体" w:hAnsi="Times New Roman" w:cs="Times New Roman" w:hint="eastAsia"/>
          <w:sz w:val="24"/>
          <w:szCs w:val="24"/>
        </w:rPr>
        <w:t>3</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，上年同比贬值</w:t>
      </w:r>
      <w:r w:rsidR="006C0701">
        <w:rPr>
          <w:rFonts w:ascii="Times New Roman" w:eastAsia="宋体" w:hAnsi="Times New Roman" w:cs="Times New Roman" w:hint="eastAsia"/>
          <w:sz w:val="24"/>
          <w:szCs w:val="24"/>
        </w:rPr>
        <w:t>1.71</w:t>
      </w:r>
      <w:r>
        <w:rPr>
          <w:rFonts w:ascii="Times New Roman" w:eastAsia="宋体" w:hAnsi="Times New Roman" w:cs="Times New Roman"/>
          <w:sz w:val="24"/>
          <w:szCs w:val="24"/>
        </w:rPr>
        <w:t>%</w:t>
      </w:r>
      <w:r>
        <w:rPr>
          <w:rFonts w:ascii="Times New Roman" w:eastAsia="宋体" w:hAnsi="Times New Roman" w:cs="Times New Roman"/>
          <w:sz w:val="24"/>
          <w:szCs w:val="24"/>
        </w:rPr>
        <w:t>；不可贸易品有效汇率上月</w:t>
      </w:r>
      <w:r w:rsidR="00EE143F">
        <w:rPr>
          <w:rFonts w:ascii="Times New Roman" w:eastAsia="宋体" w:hAnsi="Times New Roman" w:cs="Times New Roman" w:hint="eastAsia"/>
          <w:sz w:val="24"/>
          <w:szCs w:val="24"/>
        </w:rPr>
        <w:t>升值</w:t>
      </w:r>
      <w:r w:rsidR="004C61F1">
        <w:rPr>
          <w:rFonts w:ascii="Times New Roman" w:eastAsia="宋体" w:hAnsi="Times New Roman" w:cs="Times New Roman" w:hint="eastAsia"/>
          <w:sz w:val="24"/>
          <w:szCs w:val="24"/>
        </w:rPr>
        <w:t>1.05</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6C0701">
        <w:rPr>
          <w:rFonts w:ascii="Times New Roman" w:eastAsia="宋体" w:hAnsi="Times New Roman" w:cs="Times New Roman" w:hint="eastAsia"/>
          <w:sz w:val="24"/>
          <w:szCs w:val="24"/>
        </w:rPr>
        <w:t>1.</w:t>
      </w:r>
      <w:r w:rsidR="004C61F1">
        <w:rPr>
          <w:rFonts w:ascii="Times New Roman" w:eastAsia="宋体" w:hAnsi="Times New Roman" w:cs="Times New Roman" w:hint="eastAsia"/>
          <w:sz w:val="24"/>
          <w:szCs w:val="24"/>
        </w:rPr>
        <w:t>33</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4C61F1">
        <w:rPr>
          <w:rFonts w:ascii="Times New Roman" w:eastAsia="宋体" w:hAnsi="Times New Roman" w:cs="Times New Roman" w:hint="eastAsia"/>
          <w:sz w:val="24"/>
          <w:szCs w:val="24"/>
        </w:rPr>
        <w:t>可贸易品环比升值幅度小于加总和不可贸易品，同比贬值幅度大于两者。</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w:t>
      </w:r>
      <w:r w:rsidR="004C61F1">
        <w:rPr>
          <w:rFonts w:ascii="Times New Roman" w:eastAsia="宋体" w:hAnsi="Times New Roman" w:cs="Times New Roman" w:hint="eastAsia"/>
          <w:b/>
          <w:sz w:val="24"/>
          <w:szCs w:val="24"/>
        </w:rPr>
        <w:t>多数</w:t>
      </w:r>
      <w:r>
        <w:rPr>
          <w:rFonts w:ascii="Times New Roman" w:eastAsia="宋体" w:hAnsi="Times New Roman" w:cs="Times New Roman" w:hint="eastAsia"/>
          <w:b/>
          <w:sz w:val="24"/>
          <w:szCs w:val="24"/>
        </w:rPr>
        <w:t>行业</w:t>
      </w:r>
      <w:r w:rsidR="004C61F1">
        <w:rPr>
          <w:rFonts w:ascii="Times New Roman" w:eastAsia="宋体" w:hAnsi="Times New Roman" w:cs="Times New Roman" w:hint="eastAsia"/>
          <w:b/>
          <w:sz w:val="24"/>
          <w:szCs w:val="24"/>
        </w:rPr>
        <w:t>呈现环比升值和同比贬值趋势</w:t>
      </w:r>
      <w:r>
        <w:rPr>
          <w:rFonts w:ascii="Times New Roman" w:eastAsia="宋体" w:hAnsi="Times New Roman" w:cs="Times New Roman" w:hint="eastAsia"/>
          <w:b/>
          <w:sz w:val="24"/>
          <w:szCs w:val="24"/>
        </w:rPr>
        <w:t>。</w:t>
      </w:r>
      <w:r w:rsidR="004C61F1">
        <w:rPr>
          <w:rFonts w:ascii="Times New Roman" w:eastAsia="宋体" w:hAnsi="Times New Roman" w:cs="Times New Roman" w:hint="eastAsia"/>
          <w:sz w:val="24"/>
          <w:szCs w:val="24"/>
        </w:rPr>
        <w:t>3</w:t>
      </w:r>
      <w:r w:rsidR="00BF02B2" w:rsidRPr="00BF02B2">
        <w:rPr>
          <w:rFonts w:ascii="Times New Roman" w:eastAsia="宋体" w:hAnsi="Times New Roman" w:cs="Times New Roman" w:hint="eastAsia"/>
          <w:sz w:val="24"/>
          <w:szCs w:val="24"/>
        </w:rPr>
        <w:t>月</w:t>
      </w:r>
      <w:r w:rsidR="004C61F1">
        <w:rPr>
          <w:rFonts w:ascii="Times New Roman" w:eastAsia="宋体" w:hAnsi="Times New Roman" w:cs="Times New Roman" w:hint="eastAsia"/>
          <w:sz w:val="24"/>
          <w:szCs w:val="24"/>
        </w:rPr>
        <w:t>全部</w:t>
      </w:r>
      <w:r w:rsidR="002E5988">
        <w:rPr>
          <w:rFonts w:ascii="Times New Roman" w:eastAsia="宋体" w:hAnsi="Times New Roman" w:cs="Times New Roman" w:hint="eastAsia"/>
          <w:sz w:val="24"/>
          <w:szCs w:val="24"/>
        </w:rPr>
        <w:t>行业</w:t>
      </w:r>
      <w:r>
        <w:rPr>
          <w:rFonts w:ascii="Times New Roman" w:eastAsia="宋体" w:hAnsi="Times New Roman" w:cs="Times New Roman"/>
          <w:sz w:val="24"/>
          <w:szCs w:val="24"/>
        </w:rPr>
        <w:t>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w:t>
      </w:r>
      <w:r w:rsidR="004C61F1">
        <w:rPr>
          <w:rFonts w:ascii="Times New Roman" w:eastAsia="宋体" w:hAnsi="Times New Roman" w:cs="Times New Roman" w:hint="eastAsia"/>
          <w:sz w:val="24"/>
          <w:szCs w:val="24"/>
        </w:rPr>
        <w:t>升值态势</w:t>
      </w:r>
      <w:r w:rsidR="00BE4C5C">
        <w:rPr>
          <w:rFonts w:ascii="Times New Roman" w:eastAsia="宋体" w:hAnsi="Times New Roman" w:cs="Times New Roman" w:hint="eastAsia"/>
          <w:sz w:val="24"/>
          <w:szCs w:val="24"/>
        </w:rPr>
        <w:t>和</w:t>
      </w:r>
      <w:r w:rsidR="00EE143F">
        <w:rPr>
          <w:rFonts w:ascii="Times New Roman" w:eastAsia="宋体" w:hAnsi="Times New Roman" w:cs="Times New Roman" w:hint="eastAsia"/>
          <w:sz w:val="24"/>
          <w:szCs w:val="24"/>
        </w:rPr>
        <w:t>加总以及</w:t>
      </w:r>
      <w:r w:rsidR="00EE143F">
        <w:rPr>
          <w:rFonts w:ascii="Times New Roman" w:eastAsia="宋体" w:hAnsi="Times New Roman" w:cs="Times New Roman" w:hint="eastAsia"/>
          <w:sz w:val="24"/>
          <w:szCs w:val="24"/>
        </w:rPr>
        <w:t>BIS</w:t>
      </w:r>
      <w:r w:rsidR="006C0701">
        <w:rPr>
          <w:rFonts w:ascii="Times New Roman" w:eastAsia="宋体" w:hAnsi="Times New Roman" w:cs="Times New Roman" w:hint="eastAsia"/>
          <w:sz w:val="24"/>
          <w:szCs w:val="24"/>
        </w:rPr>
        <w:t>有效汇率升</w:t>
      </w:r>
      <w:r w:rsidR="00EE143F">
        <w:rPr>
          <w:rFonts w:ascii="Times New Roman" w:eastAsia="宋体" w:hAnsi="Times New Roman" w:cs="Times New Roman" w:hint="eastAsia"/>
          <w:sz w:val="24"/>
          <w:szCs w:val="24"/>
        </w:rPr>
        <w:t>值</w:t>
      </w:r>
      <w:r>
        <w:rPr>
          <w:rFonts w:ascii="Times New Roman" w:eastAsia="宋体" w:hAnsi="Times New Roman" w:cs="Times New Roman"/>
          <w:sz w:val="24"/>
          <w:szCs w:val="24"/>
        </w:rPr>
        <w:t>态势</w:t>
      </w:r>
      <w:r w:rsidR="00EE143F">
        <w:rPr>
          <w:rFonts w:ascii="Times New Roman" w:eastAsia="宋体" w:hAnsi="Times New Roman" w:cs="Times New Roman" w:hint="eastAsia"/>
          <w:sz w:val="24"/>
          <w:szCs w:val="24"/>
        </w:rPr>
        <w:t>一致</w:t>
      </w:r>
      <w:r w:rsidR="006C0701">
        <w:rPr>
          <w:rFonts w:ascii="Times New Roman" w:eastAsia="宋体" w:hAnsi="Times New Roman" w:cs="Times New Roman" w:hint="eastAsia"/>
          <w:sz w:val="24"/>
          <w:szCs w:val="24"/>
        </w:rPr>
        <w:t>，</w:t>
      </w:r>
      <w:r w:rsidR="004C61F1">
        <w:rPr>
          <w:rFonts w:ascii="Times New Roman" w:eastAsia="宋体" w:hAnsi="Times New Roman" w:cs="Times New Roman" w:hint="eastAsia"/>
          <w:sz w:val="24"/>
          <w:szCs w:val="24"/>
        </w:rPr>
        <w:t>29</w:t>
      </w:r>
      <w:r w:rsidR="004C61F1">
        <w:rPr>
          <w:rFonts w:ascii="Times New Roman" w:eastAsia="宋体" w:hAnsi="Times New Roman" w:cs="Times New Roman" w:hint="eastAsia"/>
          <w:sz w:val="24"/>
          <w:szCs w:val="24"/>
        </w:rPr>
        <w:t>个</w:t>
      </w:r>
      <w:r w:rsidR="006C0701">
        <w:rPr>
          <w:rFonts w:ascii="Times New Roman" w:eastAsia="宋体" w:hAnsi="Times New Roman" w:cs="Times New Roman" w:hint="eastAsia"/>
          <w:sz w:val="24"/>
          <w:szCs w:val="24"/>
        </w:rPr>
        <w:t>行业上年同比</w:t>
      </w:r>
      <w:r w:rsidR="001A0A21">
        <w:rPr>
          <w:rFonts w:ascii="Times New Roman" w:eastAsia="宋体" w:hAnsi="Times New Roman" w:cs="Times New Roman" w:hint="eastAsia"/>
          <w:sz w:val="24"/>
          <w:szCs w:val="24"/>
        </w:rPr>
        <w:t>和加总以及</w:t>
      </w:r>
      <w:r w:rsidR="006C0701">
        <w:rPr>
          <w:rFonts w:ascii="Times New Roman" w:eastAsia="宋体" w:hAnsi="Times New Roman" w:cs="Times New Roman" w:hint="eastAsia"/>
          <w:sz w:val="24"/>
          <w:szCs w:val="24"/>
        </w:rPr>
        <w:t>有效汇率贬值态势一致</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环比最大差异为</w:t>
      </w:r>
      <w:r w:rsidR="001A0A21">
        <w:rPr>
          <w:rFonts w:ascii="Times New Roman" w:eastAsia="宋体" w:hAnsi="Times New Roman" w:cs="Times New Roman" w:hint="eastAsia"/>
          <w:sz w:val="24"/>
          <w:szCs w:val="24"/>
        </w:rPr>
        <w:t>6.52</w:t>
      </w:r>
      <w:r>
        <w:rPr>
          <w:rFonts w:ascii="Times New Roman" w:eastAsia="宋体" w:hAnsi="Times New Roman" w:cs="Times New Roman"/>
          <w:sz w:val="24"/>
          <w:szCs w:val="24"/>
        </w:rPr>
        <w:t>个百分点，同比最大差异为</w:t>
      </w:r>
      <w:r w:rsidR="001A0A21">
        <w:rPr>
          <w:rFonts w:ascii="Times New Roman" w:eastAsia="宋体" w:hAnsi="Times New Roman" w:cs="Times New Roman" w:hint="eastAsia"/>
          <w:sz w:val="24"/>
          <w:szCs w:val="24"/>
        </w:rPr>
        <w:t>6.77</w:t>
      </w:r>
      <w:r>
        <w:rPr>
          <w:rFonts w:ascii="Times New Roman" w:eastAsia="宋体" w:hAnsi="Times New Roman" w:cs="Times New Roman"/>
          <w:sz w:val="24"/>
          <w:szCs w:val="24"/>
        </w:rPr>
        <w:t>个百分点。环比</w:t>
      </w:r>
      <w:r w:rsidR="006C0701">
        <w:rPr>
          <w:rFonts w:ascii="Times New Roman" w:eastAsia="宋体" w:hAnsi="Times New Roman" w:cs="Times New Roman" w:hint="eastAsia"/>
          <w:sz w:val="24"/>
          <w:szCs w:val="24"/>
        </w:rPr>
        <w:t>升值</w:t>
      </w:r>
      <w:r>
        <w:rPr>
          <w:rFonts w:ascii="Times New Roman" w:eastAsia="宋体" w:hAnsi="Times New Roman" w:cs="Times New Roman"/>
          <w:sz w:val="24"/>
          <w:szCs w:val="24"/>
        </w:rPr>
        <w:t>幅度最高的三个行业为</w:t>
      </w:r>
      <w:r w:rsidR="00BE4C5C">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sidR="006C0701" w:rsidRPr="0087353E">
        <w:rPr>
          <w:rFonts w:ascii="Times New Roman" w:eastAsia="宋体" w:hAnsi="Times New Roman" w:cs="Times New Roman" w:hint="eastAsia"/>
          <w:sz w:val="24"/>
          <w:szCs w:val="24"/>
        </w:rPr>
        <w:t>采矿和采石业</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 xml:space="preserve"> </w:t>
      </w:r>
      <w:r w:rsidR="006C0701">
        <w:rPr>
          <w:rFonts w:ascii="Times New Roman" w:eastAsia="宋体" w:hAnsi="Times New Roman" w:cs="Times New Roman"/>
          <w:sz w:val="24"/>
          <w:szCs w:val="24"/>
        </w:rPr>
        <w:t>“</w:t>
      </w:r>
      <w:r w:rsidR="001A0A21" w:rsidRPr="001A0A21">
        <w:rPr>
          <w:rFonts w:ascii="Times New Roman" w:eastAsia="宋体" w:hAnsi="Times New Roman" w:cs="Times New Roman" w:hint="eastAsia"/>
          <w:sz w:val="24"/>
          <w:szCs w:val="24"/>
        </w:rPr>
        <w:t>农林牧渔业</w:t>
      </w:r>
      <w:r w:rsidR="006C0701">
        <w:rPr>
          <w:rFonts w:ascii="Times New Roman" w:eastAsia="宋体" w:hAnsi="Times New Roman" w:cs="Times New Roman"/>
          <w:sz w:val="24"/>
          <w:szCs w:val="24"/>
        </w:rPr>
        <w:t>”</w:t>
      </w:r>
      <w:r w:rsidR="006C0701">
        <w:rPr>
          <w:rFonts w:ascii="Times New Roman" w:eastAsia="宋体" w:hAnsi="Times New Roman" w:cs="Times New Roman"/>
          <w:sz w:val="24"/>
          <w:szCs w:val="24"/>
        </w:rPr>
        <w:t>、</w:t>
      </w:r>
      <w:r w:rsidR="006C0701">
        <w:rPr>
          <w:rFonts w:ascii="Times New Roman" w:eastAsia="宋体" w:hAnsi="Times New Roman" w:cs="Times New Roman"/>
          <w:sz w:val="24"/>
          <w:szCs w:val="24"/>
        </w:rPr>
        <w:t xml:space="preserve"> “</w:t>
      </w:r>
      <w:r w:rsidR="001A0A21" w:rsidRPr="001A0A21">
        <w:rPr>
          <w:rFonts w:ascii="Times New Roman" w:eastAsia="宋体" w:hAnsi="Times New Roman" w:cs="Times New Roman" w:hint="eastAsia"/>
          <w:sz w:val="24"/>
          <w:szCs w:val="24"/>
        </w:rPr>
        <w:t>石油加工、炼焦及核燃料加工业</w:t>
      </w:r>
      <w:r w:rsidR="006C0701">
        <w:rPr>
          <w:rFonts w:ascii="Times New Roman" w:eastAsia="宋体" w:hAnsi="Times New Roman" w:cs="Times New Roman"/>
          <w:sz w:val="24"/>
          <w:szCs w:val="24"/>
        </w:rPr>
        <w:t>”</w:t>
      </w:r>
      <w:r>
        <w:rPr>
          <w:rFonts w:ascii="Times New Roman" w:eastAsia="宋体" w:hAnsi="Times New Roman" w:cs="Times New Roman"/>
          <w:sz w:val="24"/>
          <w:szCs w:val="24"/>
        </w:rPr>
        <w:t>，环比</w:t>
      </w:r>
      <w:r w:rsidR="001A0A21">
        <w:rPr>
          <w:rFonts w:ascii="Times New Roman" w:eastAsia="宋体" w:hAnsi="Times New Roman" w:cs="Times New Roman" w:hint="eastAsia"/>
          <w:sz w:val="24"/>
          <w:szCs w:val="24"/>
        </w:rPr>
        <w:t>升值幅度最低</w:t>
      </w:r>
      <w:r>
        <w:rPr>
          <w:rFonts w:ascii="Times New Roman" w:eastAsia="宋体" w:hAnsi="Times New Roman" w:cs="Times New Roman"/>
          <w:sz w:val="24"/>
          <w:szCs w:val="24"/>
        </w:rPr>
        <w:t>的三个行业为</w:t>
      </w:r>
      <w:r>
        <w:rPr>
          <w:rFonts w:ascii="Times New Roman" w:eastAsia="宋体" w:hAnsi="Times New Roman" w:cs="Times New Roman"/>
          <w:sz w:val="24"/>
          <w:szCs w:val="24"/>
        </w:rPr>
        <w:t>“</w:t>
      </w:r>
      <w:r w:rsidR="001A0A21" w:rsidRPr="001A0A21">
        <w:rPr>
          <w:rFonts w:ascii="Times New Roman" w:eastAsia="宋体" w:hAnsi="Times New Roman" w:cs="Times New Roman" w:hint="eastAsia"/>
          <w:sz w:val="24"/>
          <w:szCs w:val="24"/>
        </w:rPr>
        <w:t>设备制造业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1A0A21" w:rsidRPr="001A0A21">
        <w:rPr>
          <w:rFonts w:ascii="Times New Roman" w:eastAsia="宋体" w:hAnsi="Times New Roman" w:cs="Times New Roman" w:hint="eastAsia"/>
          <w:sz w:val="24"/>
          <w:szCs w:val="24"/>
        </w:rPr>
        <w:t>水路运输业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6C0701" w:rsidRPr="006C0701">
        <w:rPr>
          <w:rFonts w:ascii="Times New Roman" w:eastAsia="宋体" w:hAnsi="Times New Roman" w:cs="Times New Roman" w:hint="eastAsia"/>
          <w:sz w:val="24"/>
          <w:szCs w:val="24"/>
        </w:rPr>
        <w:t>电气和光学设备制造业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sidR="00BE4C5C">
        <w:rPr>
          <w:rFonts w:ascii="Times New Roman" w:eastAsia="宋体" w:hAnsi="Times New Roman" w:cs="Times New Roman"/>
          <w:sz w:val="24"/>
          <w:szCs w:val="24"/>
        </w:rPr>
        <w:t>“</w:t>
      </w:r>
      <w:r w:rsidR="001A0A21" w:rsidRPr="001A0A21">
        <w:rPr>
          <w:rFonts w:ascii="Times New Roman" w:eastAsia="宋体" w:hAnsi="Times New Roman" w:cs="Times New Roman" w:hint="eastAsia"/>
          <w:sz w:val="24"/>
          <w:szCs w:val="24"/>
        </w:rPr>
        <w:t>电气和光学设备制造业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6C0701" w:rsidRPr="006C0701">
        <w:rPr>
          <w:rFonts w:ascii="Times New Roman" w:eastAsia="宋体" w:hAnsi="Times New Roman" w:cs="Times New Roman" w:hint="eastAsia"/>
          <w:sz w:val="24"/>
          <w:szCs w:val="24"/>
        </w:rPr>
        <w:t>公共管理和国防业；强制性社会保障</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1A0A21" w:rsidRPr="001A0A21">
        <w:rPr>
          <w:rFonts w:ascii="Times New Roman" w:eastAsia="宋体" w:hAnsi="Times New Roman" w:cs="Times New Roman" w:hint="eastAsia"/>
          <w:sz w:val="24"/>
          <w:szCs w:val="24"/>
        </w:rPr>
        <w:t>电气和光学设备制造业</w:t>
      </w:r>
      <w:r w:rsidR="00BE4C5C">
        <w:rPr>
          <w:rFonts w:ascii="Times New Roman" w:eastAsia="宋体" w:hAnsi="Times New Roman" w:cs="Times New Roman"/>
          <w:sz w:val="24"/>
          <w:szCs w:val="24"/>
        </w:rPr>
        <w:t>”</w:t>
      </w:r>
      <w:r>
        <w:rPr>
          <w:rFonts w:ascii="Times New Roman" w:eastAsia="宋体" w:hAnsi="Times New Roman" w:cs="Times New Roman"/>
          <w:sz w:val="24"/>
          <w:szCs w:val="24"/>
        </w:rPr>
        <w:t>，同</w:t>
      </w:r>
      <w:r w:rsidR="001A0A21">
        <w:rPr>
          <w:rFonts w:ascii="Times New Roman" w:eastAsia="宋体" w:hAnsi="Times New Roman" w:cs="Times New Roman" w:hint="eastAsia"/>
          <w:sz w:val="24"/>
          <w:szCs w:val="24"/>
        </w:rPr>
        <w:t>比升值幅度最高</w:t>
      </w:r>
      <w:r>
        <w:rPr>
          <w:rFonts w:ascii="Times New Roman" w:eastAsia="宋体" w:hAnsi="Times New Roman" w:cs="Times New Roman"/>
          <w:sz w:val="24"/>
          <w:szCs w:val="24"/>
        </w:rPr>
        <w:t>的三个行业为</w:t>
      </w:r>
      <w:r w:rsidR="006C0701">
        <w:rPr>
          <w:rFonts w:ascii="Times New Roman" w:eastAsia="宋体" w:hAnsi="Times New Roman" w:cs="Times New Roman"/>
          <w:sz w:val="24"/>
          <w:szCs w:val="24"/>
        </w:rPr>
        <w:t xml:space="preserve"> </w:t>
      </w:r>
      <w:r w:rsidR="00BE4C5C">
        <w:rPr>
          <w:rFonts w:ascii="Times New Roman" w:eastAsia="宋体" w:hAnsi="Times New Roman" w:cs="Times New Roman"/>
          <w:sz w:val="24"/>
          <w:szCs w:val="24"/>
        </w:rPr>
        <w:t>“</w:t>
      </w:r>
      <w:r w:rsidR="001A0A21" w:rsidRPr="001A0A21">
        <w:rPr>
          <w:rFonts w:ascii="Times New Roman" w:eastAsia="宋体" w:hAnsi="Times New Roman" w:cs="Times New Roman" w:hint="eastAsia"/>
          <w:sz w:val="24"/>
          <w:szCs w:val="24"/>
        </w:rPr>
        <w:t>采矿和采石业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87353E">
        <w:rPr>
          <w:rFonts w:ascii="Times New Roman" w:eastAsia="宋体" w:hAnsi="Times New Roman" w:cs="Times New Roman"/>
          <w:sz w:val="24"/>
          <w:szCs w:val="24"/>
        </w:rPr>
        <w:t xml:space="preserve"> </w:t>
      </w:r>
      <w:r w:rsidR="006C0701">
        <w:rPr>
          <w:rFonts w:ascii="Times New Roman" w:eastAsia="宋体" w:hAnsi="Times New Roman" w:cs="Times New Roman"/>
          <w:sz w:val="24"/>
          <w:szCs w:val="24"/>
        </w:rPr>
        <w:t>“</w:t>
      </w:r>
      <w:r w:rsidR="001A0A21" w:rsidRPr="00BE4C5C">
        <w:rPr>
          <w:rFonts w:ascii="Times New Roman" w:eastAsia="宋体" w:hAnsi="Times New Roman" w:cs="Times New Roman" w:hint="eastAsia"/>
          <w:sz w:val="24"/>
          <w:szCs w:val="24"/>
        </w:rPr>
        <w:t>皮革</w:t>
      </w:r>
      <w:r w:rsidR="001A0A21" w:rsidRPr="00BE4C5C">
        <w:rPr>
          <w:rFonts w:ascii="Times New Roman" w:eastAsia="宋体" w:hAnsi="Times New Roman" w:cs="Times New Roman"/>
          <w:sz w:val="24"/>
          <w:szCs w:val="24"/>
        </w:rPr>
        <w:t>,</w:t>
      </w:r>
      <w:r w:rsidR="001A0A21" w:rsidRPr="00BE4C5C">
        <w:rPr>
          <w:rFonts w:ascii="Times New Roman" w:eastAsia="宋体" w:hAnsi="Times New Roman" w:cs="Times New Roman"/>
          <w:sz w:val="24"/>
          <w:szCs w:val="24"/>
        </w:rPr>
        <w:t>皮革制品和鞋业</w:t>
      </w:r>
      <w:r w:rsidR="006C0701">
        <w:rPr>
          <w:rFonts w:ascii="Times New Roman" w:eastAsia="宋体" w:hAnsi="Times New Roman" w:cs="Times New Roman"/>
          <w:sz w:val="24"/>
          <w:szCs w:val="24"/>
        </w:rPr>
        <w:t>”</w:t>
      </w:r>
      <w:r w:rsidR="006C0701">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1A0A21" w:rsidRPr="001A0A21">
        <w:rPr>
          <w:rFonts w:ascii="Times New Roman" w:eastAsia="宋体" w:hAnsi="Times New Roman" w:cs="Times New Roman" w:hint="eastAsia"/>
          <w:sz w:val="24"/>
          <w:szCs w:val="24"/>
        </w:rPr>
        <w:t>农林牧渔业</w:t>
      </w:r>
      <w:r w:rsidR="00BE4C5C">
        <w:rPr>
          <w:rFonts w:ascii="Times New Roman" w:eastAsia="宋体" w:hAnsi="Times New Roman" w:cs="Times New Roman"/>
          <w:sz w:val="24"/>
          <w:szCs w:val="24"/>
        </w:rPr>
        <w:t>”</w:t>
      </w:r>
      <w:r>
        <w:rPr>
          <w:rFonts w:ascii="Times New Roman" w:eastAsia="宋体" w:hAnsi="Times New Roman" w:cs="Times New Roman"/>
          <w:sz w:val="24"/>
          <w:szCs w:val="24"/>
        </w:rPr>
        <w:t>。</w:t>
      </w:r>
    </w:p>
    <w:p w:rsidR="00963E97" w:rsidRPr="001A0A21" w:rsidRDefault="00963E97">
      <w:pPr>
        <w:spacing w:line="360" w:lineRule="auto"/>
        <w:ind w:firstLine="420"/>
        <w:jc w:val="right"/>
        <w:rPr>
          <w:rFonts w:ascii="Times New Roman" w:eastAsia="宋体" w:hAnsi="Times New Roman" w:cs="Times New Roman"/>
          <w:sz w:val="24"/>
          <w:szCs w:val="24"/>
        </w:rPr>
      </w:pPr>
    </w:p>
    <w:p w:rsidR="00963E97" w:rsidRDefault="00DD286C">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r w:rsidR="003E3C05">
        <w:fldChar w:fldCharType="begin"/>
      </w:r>
      <w:r w:rsidR="003E3C05">
        <w:instrText>HYPERLINK "http://iwep.org.cn/iwepheer/"</w:instrText>
      </w:r>
      <w:r w:rsidR="003E3C05">
        <w:fldChar w:fldCharType="separate"/>
      </w:r>
      <w:r>
        <w:rPr>
          <w:rStyle w:val="a7"/>
          <w:rFonts w:ascii="Times New Roman" w:eastAsia="宋体" w:hAnsi="Times New Roman" w:cs="Times New Roman"/>
          <w:sz w:val="24"/>
          <w:szCs w:val="24"/>
        </w:rPr>
        <w:t>http://iwep.org.cn/iwepheer/</w:t>
      </w:r>
      <w:r w:rsidR="003E3C05">
        <w:fldChar w:fldCharType="end"/>
      </w:r>
      <w:r>
        <w:rPr>
          <w:rFonts w:ascii="Times New Roman" w:eastAsia="宋体" w:hAnsi="Times New Roman" w:cs="Times New Roman" w:hint="eastAsia"/>
          <w:sz w:val="24"/>
          <w:szCs w:val="24"/>
        </w:rPr>
        <w:t>）</w:t>
      </w:r>
    </w:p>
    <w:p w:rsidR="00963E97" w:rsidRDefault="00DD286C">
      <w:pPr>
        <w:pStyle w:val="a3"/>
        <w:keepNext/>
        <w:jc w:val="center"/>
        <w:rPr>
          <w:rFonts w:ascii="黑体" w:hAnsi="黑体" w:cs="Times New Roman"/>
        </w:rPr>
      </w:pPr>
      <w:r>
        <w:rPr>
          <w:rFonts w:ascii="黑体" w:hAnsi="黑体" w:cs="Times New Roman"/>
        </w:rPr>
        <w:lastRenderedPageBreak/>
        <w:t xml:space="preserve">图 </w:t>
      </w:r>
      <w:r w:rsidR="003E3C05">
        <w:rPr>
          <w:rFonts w:ascii="黑体" w:hAnsi="黑体" w:cs="Times New Roman"/>
        </w:rPr>
        <w:fldChar w:fldCharType="begin"/>
      </w:r>
      <w:r>
        <w:rPr>
          <w:rFonts w:ascii="黑体" w:hAnsi="黑体" w:cs="Times New Roman"/>
        </w:rPr>
        <w:instrText xml:space="preserve"> SEQ 图 \* ARABIC </w:instrText>
      </w:r>
      <w:r w:rsidR="003E3C05">
        <w:rPr>
          <w:rFonts w:ascii="黑体" w:hAnsi="黑体" w:cs="Times New Roman"/>
        </w:rPr>
        <w:fldChar w:fldCharType="separate"/>
      </w:r>
      <w:r>
        <w:rPr>
          <w:rFonts w:ascii="黑体" w:hAnsi="黑体" w:cs="Times New Roman"/>
        </w:rPr>
        <w:t>1</w:t>
      </w:r>
      <w:r w:rsidR="003E3C05">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rsidR="00963E97" w:rsidRDefault="001C2CCA">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118192"/>
            <wp:effectExtent l="19050" t="0" r="2540" b="0"/>
            <wp:docPr id="2" name="图片 1" descr="C:\Users\Administrator\AppData\Local\Temp\15902852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90285227(1).png"/>
                    <pic:cNvPicPr>
                      <a:picLocks noChangeAspect="1" noChangeArrowheads="1"/>
                    </pic:cNvPicPr>
                  </pic:nvPicPr>
                  <pic:blipFill>
                    <a:blip r:embed="rId8" cstate="print"/>
                    <a:srcRect/>
                    <a:stretch>
                      <a:fillRect/>
                    </a:stretch>
                  </pic:blipFill>
                  <pic:spPr bwMode="auto">
                    <a:xfrm>
                      <a:off x="0" y="0"/>
                      <a:ext cx="5274310" cy="3118192"/>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rsidR="00963E97" w:rsidRDefault="00963E97">
      <w:pPr>
        <w:spacing w:line="360" w:lineRule="auto"/>
        <w:rPr>
          <w:rFonts w:ascii="Times New Roman" w:eastAsia="宋体" w:hAnsi="Times New Roman" w:cs="Times New Roman"/>
          <w:sz w:val="24"/>
          <w:szCs w:val="24"/>
        </w:rPr>
      </w:pPr>
    </w:p>
    <w:p w:rsidR="00963E97" w:rsidRDefault="00DD286C">
      <w:pPr>
        <w:pStyle w:val="a3"/>
        <w:keepNext/>
        <w:jc w:val="center"/>
        <w:rPr>
          <w:rFonts w:ascii="黑体" w:hAnsi="黑体" w:cs="Times New Roman"/>
        </w:rPr>
      </w:pPr>
      <w:r>
        <w:rPr>
          <w:rFonts w:ascii="黑体" w:hAnsi="黑体" w:cs="Times New Roman"/>
        </w:rPr>
        <w:t xml:space="preserve">图 </w:t>
      </w:r>
      <w:r w:rsidR="003E3C05">
        <w:rPr>
          <w:rFonts w:ascii="黑体" w:hAnsi="黑体" w:cs="Times New Roman"/>
        </w:rPr>
        <w:fldChar w:fldCharType="begin"/>
      </w:r>
      <w:r>
        <w:rPr>
          <w:rFonts w:ascii="黑体" w:hAnsi="黑体" w:cs="Times New Roman"/>
        </w:rPr>
        <w:instrText xml:space="preserve"> SEQ 图 \* ARABIC </w:instrText>
      </w:r>
      <w:r w:rsidR="003E3C05">
        <w:rPr>
          <w:rFonts w:ascii="黑体" w:hAnsi="黑体" w:cs="Times New Roman"/>
        </w:rPr>
        <w:fldChar w:fldCharType="separate"/>
      </w:r>
      <w:r>
        <w:rPr>
          <w:rFonts w:ascii="黑体" w:hAnsi="黑体" w:cs="Times New Roman"/>
        </w:rPr>
        <w:t>2</w:t>
      </w:r>
      <w:r w:rsidR="003E3C05">
        <w:rPr>
          <w:rFonts w:ascii="黑体" w:hAnsi="黑体" w:cs="Times New Roman"/>
        </w:rPr>
        <w:fldChar w:fldCharType="end"/>
      </w:r>
      <w:r>
        <w:rPr>
          <w:rFonts w:ascii="黑体" w:hAnsi="黑体" w:cs="Times New Roman"/>
        </w:rPr>
        <w:t>基于增加值人民币有效汇率：可贸易品</w:t>
      </w:r>
      <w:proofErr w:type="spellStart"/>
      <w:r>
        <w:rPr>
          <w:rFonts w:ascii="黑体" w:hAnsi="黑体" w:cs="Times New Roman"/>
        </w:rPr>
        <w:t>vs</w:t>
      </w:r>
      <w:proofErr w:type="spellEnd"/>
      <w:r>
        <w:rPr>
          <w:rFonts w:ascii="黑体" w:hAnsi="黑体" w:cs="Times New Roman"/>
        </w:rPr>
        <w:t>不可贸易品</w:t>
      </w:r>
    </w:p>
    <w:p w:rsidR="00963E97" w:rsidRDefault="001C2CCA">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080447"/>
            <wp:effectExtent l="19050" t="0" r="2540" b="0"/>
            <wp:docPr id="4" name="图片 2" descr="C:\Users\Administrator\AppData\Local\Temp\15902852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90285269(1).png"/>
                    <pic:cNvPicPr>
                      <a:picLocks noChangeAspect="1" noChangeArrowheads="1"/>
                    </pic:cNvPicPr>
                  </pic:nvPicPr>
                  <pic:blipFill>
                    <a:blip r:embed="rId9" cstate="print"/>
                    <a:srcRect/>
                    <a:stretch>
                      <a:fillRect/>
                    </a:stretch>
                  </pic:blipFill>
                  <pic:spPr bwMode="auto">
                    <a:xfrm>
                      <a:off x="0" y="0"/>
                      <a:ext cx="5274310" cy="3080447"/>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963E97" w:rsidRDefault="00963E97">
      <w:pPr>
        <w:spacing w:line="360" w:lineRule="auto"/>
        <w:ind w:firstLine="420"/>
        <w:rPr>
          <w:rFonts w:ascii="Times New Roman" w:eastAsia="宋体" w:hAnsi="Times New Roman" w:cs="Times New Roman"/>
          <w:sz w:val="24"/>
          <w:szCs w:val="24"/>
        </w:rPr>
      </w:pPr>
    </w:p>
    <w:p w:rsidR="00963E97" w:rsidRDefault="00DD286C">
      <w:pPr>
        <w:pStyle w:val="a3"/>
        <w:keepNext/>
        <w:jc w:val="center"/>
      </w:pPr>
      <w:r>
        <w:lastRenderedPageBreak/>
        <w:t>表</w:t>
      </w:r>
      <w:r>
        <w:t xml:space="preserve"> </w:t>
      </w:r>
      <w:r w:rsidR="003E3C05">
        <w:fldChar w:fldCharType="begin"/>
      </w:r>
      <w:r>
        <w:instrText xml:space="preserve"> SEQ </w:instrText>
      </w:r>
      <w:r>
        <w:instrText>表格</w:instrText>
      </w:r>
      <w:r>
        <w:instrText xml:space="preserve"> \* ARABIC </w:instrText>
      </w:r>
      <w:r w:rsidR="003E3C05">
        <w:fldChar w:fldCharType="separate"/>
      </w:r>
      <w:r>
        <w:t>1</w:t>
      </w:r>
      <w:r w:rsidR="003E3C05">
        <w:fldChar w:fldCharType="end"/>
      </w:r>
      <w:r>
        <w:t xml:space="preserve"> </w:t>
      </w:r>
      <w:r>
        <w:rPr>
          <w:rFonts w:hint="eastAsia"/>
        </w:rPr>
        <w:t>分行业基于增加值人民币有效汇率环比变动（</w:t>
      </w:r>
      <w:r>
        <w:rPr>
          <w:rFonts w:hint="eastAsia"/>
        </w:rPr>
        <w:t>20</w:t>
      </w:r>
      <w:r w:rsidR="00EE143F">
        <w:rPr>
          <w:rFonts w:hint="eastAsia"/>
        </w:rPr>
        <w:t>20</w:t>
      </w:r>
      <w:r>
        <w:rPr>
          <w:rFonts w:hint="eastAsia"/>
        </w:rPr>
        <w:t>年</w:t>
      </w:r>
      <w:r w:rsidR="001C2CCA">
        <w:rPr>
          <w:rFonts w:hint="eastAsia"/>
        </w:rPr>
        <w:t>3</w:t>
      </w:r>
      <w:r>
        <w:rPr>
          <w:rFonts w:hint="eastAsia"/>
        </w:rPr>
        <w:t>月）</w:t>
      </w:r>
    </w:p>
    <w:tbl>
      <w:tblPr>
        <w:tblW w:w="6804"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b/>
                <w:bCs/>
                <w:color w:val="000000"/>
                <w:kern w:val="0"/>
                <w:szCs w:val="21"/>
              </w:rPr>
            </w:pPr>
            <w:r w:rsidRPr="001C2CCA">
              <w:rPr>
                <w:rFonts w:ascii="宋体" w:eastAsia="宋体" w:hAnsi="宋体" w:cs="宋体" w:hint="eastAsia"/>
                <w:b/>
                <w:bCs/>
                <w:color w:val="000000"/>
                <w:kern w:val="0"/>
                <w:szCs w:val="21"/>
              </w:rPr>
              <w:t>行业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Times New Roman"/>
                <w:b/>
                <w:bCs/>
                <w:color w:val="000000"/>
                <w:kern w:val="0"/>
                <w:szCs w:val="21"/>
              </w:rPr>
            </w:pPr>
            <w:r w:rsidRPr="001C2CCA">
              <w:rPr>
                <w:rFonts w:ascii="宋体" w:eastAsia="宋体" w:hAnsi="宋体" w:cs="Times New Roman"/>
                <w:b/>
                <w:bCs/>
                <w:color w:val="000000"/>
                <w:kern w:val="0"/>
                <w:szCs w:val="21"/>
              </w:rPr>
              <w:t>上月环比</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6.56%</w:t>
            </w:r>
          </w:p>
        </w:tc>
      </w:tr>
      <w:tr w:rsidR="001C2CCA" w:rsidRPr="001C2CCA" w:rsidTr="001C2CCA">
        <w:trPr>
          <w:trHeight w:val="270"/>
          <w:jc w:val="center"/>
        </w:trPr>
        <w:tc>
          <w:tcPr>
            <w:tcW w:w="4490" w:type="dxa"/>
            <w:shd w:val="clear" w:color="000000" w:fill="00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2.83%</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2.29%</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内陆运输业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2.19%</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2.09%</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2.03%</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1.75%</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1.72%</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1.71%</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1.67%</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邮政通讯业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1.42%</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1.42%</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1.39%</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教育</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1.31%</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1.20%</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1.19%</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1.19%</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金融业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1.12%</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1.12%</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房地产业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1.11%</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0.98%</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0.92%</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航空运输业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0.91%</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0.78%</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0.73%</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0.69%</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0.61%</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建筑业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0.59%</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0.45%</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0.37%</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0.17%</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水路运输业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0.09%</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0.04%</w:t>
            </w:r>
          </w:p>
        </w:tc>
      </w:tr>
    </w:tbl>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963E97" w:rsidRDefault="00963E97">
      <w:pPr>
        <w:spacing w:line="360" w:lineRule="auto"/>
        <w:ind w:firstLine="420"/>
        <w:rPr>
          <w:rFonts w:ascii="Times New Roman" w:eastAsia="宋体" w:hAnsi="Times New Roman" w:cs="Times New Roman"/>
          <w:sz w:val="18"/>
          <w:szCs w:val="18"/>
        </w:rPr>
      </w:pPr>
    </w:p>
    <w:p w:rsidR="00E6154C" w:rsidRDefault="00E6154C">
      <w:pPr>
        <w:spacing w:line="360" w:lineRule="auto"/>
        <w:ind w:firstLine="420"/>
        <w:rPr>
          <w:rFonts w:ascii="Times New Roman" w:eastAsia="宋体" w:hAnsi="Times New Roman" w:cs="Times New Roman" w:hint="eastAsia"/>
          <w:sz w:val="18"/>
          <w:szCs w:val="18"/>
        </w:rPr>
      </w:pPr>
    </w:p>
    <w:p w:rsidR="001C2CCA" w:rsidRDefault="001C2CCA">
      <w:pPr>
        <w:spacing w:line="360" w:lineRule="auto"/>
        <w:ind w:firstLine="420"/>
        <w:rPr>
          <w:rFonts w:ascii="Times New Roman" w:eastAsia="宋体" w:hAnsi="Times New Roman" w:cs="Times New Roman" w:hint="eastAsia"/>
          <w:sz w:val="18"/>
          <w:szCs w:val="18"/>
        </w:rPr>
      </w:pPr>
    </w:p>
    <w:p w:rsidR="001C2CCA" w:rsidRDefault="001C2CCA">
      <w:pPr>
        <w:spacing w:line="360" w:lineRule="auto"/>
        <w:ind w:firstLine="420"/>
        <w:rPr>
          <w:rFonts w:ascii="Times New Roman" w:eastAsia="宋体" w:hAnsi="Times New Roman" w:cs="Times New Roman"/>
          <w:sz w:val="18"/>
          <w:szCs w:val="18"/>
        </w:rPr>
      </w:pPr>
    </w:p>
    <w:p w:rsidR="00963E97" w:rsidRDefault="00DD286C">
      <w:pPr>
        <w:pStyle w:val="a3"/>
        <w:keepNext/>
        <w:jc w:val="center"/>
      </w:pPr>
      <w:r>
        <w:lastRenderedPageBreak/>
        <w:t>表</w:t>
      </w:r>
      <w:r w:rsidR="003E3C05">
        <w:fldChar w:fldCharType="begin"/>
      </w:r>
      <w:r>
        <w:instrText xml:space="preserve"> SEQ </w:instrText>
      </w:r>
      <w:r>
        <w:instrText>表格</w:instrText>
      </w:r>
      <w:r>
        <w:instrText xml:space="preserve"> \* ARABIC </w:instrText>
      </w:r>
      <w:r w:rsidR="003E3C05">
        <w:fldChar w:fldCharType="separate"/>
      </w:r>
      <w:r>
        <w:t>2</w:t>
      </w:r>
      <w:r w:rsidR="003E3C05">
        <w:fldChar w:fldCharType="end"/>
      </w:r>
      <w:r>
        <w:t xml:space="preserve"> </w:t>
      </w:r>
      <w:r>
        <w:rPr>
          <w:rFonts w:hint="eastAsia"/>
        </w:rPr>
        <w:t>分行业基于增加值人民币有效汇率同比变动（</w:t>
      </w:r>
      <w:r>
        <w:rPr>
          <w:rFonts w:hint="eastAsia"/>
        </w:rPr>
        <w:t>20</w:t>
      </w:r>
      <w:r w:rsidR="00EE143F">
        <w:rPr>
          <w:rFonts w:hint="eastAsia"/>
        </w:rPr>
        <w:t>20</w:t>
      </w:r>
      <w:r>
        <w:rPr>
          <w:rFonts w:hint="eastAsia"/>
        </w:rPr>
        <w:t>年</w:t>
      </w:r>
      <w:r w:rsidR="001C2CCA">
        <w:rPr>
          <w:rFonts w:hint="eastAsia"/>
        </w:rPr>
        <w:t>3</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Times New Roman"/>
                <w:b/>
                <w:bCs/>
                <w:color w:val="000000"/>
                <w:kern w:val="0"/>
                <w:szCs w:val="21"/>
              </w:rPr>
            </w:pPr>
            <w:r w:rsidRPr="001C2CCA">
              <w:rPr>
                <w:rFonts w:ascii="宋体" w:eastAsia="宋体" w:hAnsi="宋体" w:cs="Times New Roman"/>
                <w:b/>
                <w:bCs/>
                <w:color w:val="000000"/>
                <w:kern w:val="0"/>
                <w:szCs w:val="21"/>
              </w:rPr>
              <w:t>行业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Times New Roman"/>
                <w:b/>
                <w:bCs/>
                <w:color w:val="000000"/>
                <w:kern w:val="0"/>
                <w:szCs w:val="21"/>
              </w:rPr>
            </w:pPr>
            <w:r w:rsidRPr="001C2CCA">
              <w:rPr>
                <w:rFonts w:ascii="宋体" w:eastAsia="宋体" w:hAnsi="宋体" w:cs="Times New Roman"/>
                <w:b/>
                <w:bCs/>
                <w:color w:val="000000"/>
                <w:kern w:val="0"/>
                <w:szCs w:val="21"/>
              </w:rPr>
              <w:t>上年同比</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-2.56%</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-2.30%</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-2.15%</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水路运输业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-2.01%</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-1.95%</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-1.93%</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-1.76%</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-1.75%</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-1.72%</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航空运输业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-1.55%</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-1.42%</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金融业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-1.37%</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-1.36%</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-1.34%</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-1.33%</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-1.30%</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-1.24%</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房地产业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-1.11%</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-1.05%</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-0.97%</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-0.96%</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-0.89%</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建筑业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-0.88%</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-0.85%</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-0.83%</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邮政通讯业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-0.69%</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内陆运输业</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-0.35%</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教育</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-0.11%</w:t>
            </w:r>
          </w:p>
        </w:tc>
      </w:tr>
      <w:tr w:rsidR="001C2CCA" w:rsidRPr="001C2CCA" w:rsidTr="001C2CCA">
        <w:trPr>
          <w:trHeight w:val="270"/>
          <w:jc w:val="center"/>
        </w:trPr>
        <w:tc>
          <w:tcPr>
            <w:tcW w:w="449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-0.02%</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0.22%</w:t>
            </w:r>
          </w:p>
        </w:tc>
      </w:tr>
      <w:tr w:rsidR="001C2CCA" w:rsidRPr="001C2CCA" w:rsidTr="001C2CCA">
        <w:trPr>
          <w:trHeight w:val="270"/>
          <w:jc w:val="center"/>
        </w:trPr>
        <w:tc>
          <w:tcPr>
            <w:tcW w:w="4490" w:type="dxa"/>
            <w:shd w:val="clear" w:color="000000" w:fill="00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0.90%</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0.94%</w:t>
            </w:r>
          </w:p>
        </w:tc>
      </w:tr>
      <w:tr w:rsidR="001C2CCA" w:rsidRPr="001C2CCA" w:rsidTr="001C2CCA">
        <w:trPr>
          <w:trHeight w:val="270"/>
          <w:jc w:val="center"/>
        </w:trPr>
        <w:tc>
          <w:tcPr>
            <w:tcW w:w="449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1C2CCA" w:rsidRPr="001C2CCA" w:rsidRDefault="001C2CCA" w:rsidP="001C2CCA">
            <w:pPr>
              <w:widowControl/>
              <w:jc w:val="center"/>
              <w:rPr>
                <w:rFonts w:ascii="宋体" w:eastAsia="宋体" w:hAnsi="宋体" w:cs="宋体"/>
                <w:color w:val="000000"/>
                <w:kern w:val="0"/>
                <w:szCs w:val="21"/>
              </w:rPr>
            </w:pPr>
            <w:r w:rsidRPr="001C2CCA">
              <w:rPr>
                <w:rFonts w:ascii="宋体" w:eastAsia="宋体" w:hAnsi="宋体" w:cs="宋体" w:hint="eastAsia"/>
                <w:color w:val="000000"/>
                <w:kern w:val="0"/>
                <w:szCs w:val="21"/>
              </w:rPr>
              <w:t>4.21%</w:t>
            </w:r>
          </w:p>
        </w:tc>
      </w:tr>
    </w:tbl>
    <w:p w:rsidR="00963E97" w:rsidRDefault="00963E97" w:rsidP="001C2CCA">
      <w:pPr>
        <w:spacing w:line="360" w:lineRule="auto"/>
        <w:jc w:val="center"/>
        <w:rPr>
          <w:rFonts w:ascii="Times New Roman" w:eastAsia="宋体" w:hAnsi="Times New Roman" w:cs="Times New Roman"/>
          <w:sz w:val="24"/>
          <w:szCs w:val="24"/>
        </w:rPr>
      </w:pPr>
    </w:p>
    <w:sectPr w:rsidR="00963E97" w:rsidSect="00963E97">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FB4" w:rsidRDefault="00F27FB4" w:rsidP="00963E97">
      <w:r>
        <w:separator/>
      </w:r>
    </w:p>
  </w:endnote>
  <w:endnote w:type="continuationSeparator" w:id="0">
    <w:p w:rsidR="00F27FB4" w:rsidRDefault="00F27FB4" w:rsidP="0096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FB4" w:rsidRDefault="00F27FB4" w:rsidP="00963E97">
      <w:r>
        <w:separator/>
      </w:r>
    </w:p>
  </w:footnote>
  <w:footnote w:type="continuationSeparator" w:id="0">
    <w:p w:rsidR="00F27FB4" w:rsidRDefault="00F27FB4" w:rsidP="0096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7" w:rsidRDefault="003E3C05">
    <w:pPr>
      <w:pStyle w:val="a6"/>
    </w:pPr>
    <w:r>
      <w:pict>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rsidR="00963E97" w:rsidRDefault="00DD286C">
                    <w:pPr>
                      <w:pStyle w:val="a6"/>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0555"/>
    <w:rsid w:val="00030BDE"/>
    <w:rsid w:val="0007302D"/>
    <w:rsid w:val="000C3BFF"/>
    <w:rsid w:val="000E6CCC"/>
    <w:rsid w:val="000F7043"/>
    <w:rsid w:val="00147E12"/>
    <w:rsid w:val="001657EF"/>
    <w:rsid w:val="001A0A21"/>
    <w:rsid w:val="001A5BBB"/>
    <w:rsid w:val="001C2CCA"/>
    <w:rsid w:val="001F430C"/>
    <w:rsid w:val="002034D7"/>
    <w:rsid w:val="002041B5"/>
    <w:rsid w:val="00210905"/>
    <w:rsid w:val="00227C68"/>
    <w:rsid w:val="00267C28"/>
    <w:rsid w:val="002E1669"/>
    <w:rsid w:val="002E5988"/>
    <w:rsid w:val="002F79CC"/>
    <w:rsid w:val="0030403D"/>
    <w:rsid w:val="0033361A"/>
    <w:rsid w:val="0033543A"/>
    <w:rsid w:val="00364641"/>
    <w:rsid w:val="003B0439"/>
    <w:rsid w:val="003E3C05"/>
    <w:rsid w:val="003E40C8"/>
    <w:rsid w:val="00420555"/>
    <w:rsid w:val="00420EED"/>
    <w:rsid w:val="00435F59"/>
    <w:rsid w:val="00484922"/>
    <w:rsid w:val="004C61F1"/>
    <w:rsid w:val="004F5D81"/>
    <w:rsid w:val="00503137"/>
    <w:rsid w:val="00506398"/>
    <w:rsid w:val="00510CF4"/>
    <w:rsid w:val="00520AE0"/>
    <w:rsid w:val="005401B4"/>
    <w:rsid w:val="00581E14"/>
    <w:rsid w:val="00590700"/>
    <w:rsid w:val="005A3D37"/>
    <w:rsid w:val="005B7DA5"/>
    <w:rsid w:val="005C5B25"/>
    <w:rsid w:val="005F1EFD"/>
    <w:rsid w:val="005F29DE"/>
    <w:rsid w:val="00626C75"/>
    <w:rsid w:val="0063138E"/>
    <w:rsid w:val="006617DC"/>
    <w:rsid w:val="0066223B"/>
    <w:rsid w:val="0066259E"/>
    <w:rsid w:val="00673ABE"/>
    <w:rsid w:val="00696DBB"/>
    <w:rsid w:val="006B6952"/>
    <w:rsid w:val="006C0701"/>
    <w:rsid w:val="006C3B74"/>
    <w:rsid w:val="0070118B"/>
    <w:rsid w:val="0072145D"/>
    <w:rsid w:val="00735A5F"/>
    <w:rsid w:val="0077323E"/>
    <w:rsid w:val="007C10A0"/>
    <w:rsid w:val="007C1E64"/>
    <w:rsid w:val="0087353E"/>
    <w:rsid w:val="00884DA6"/>
    <w:rsid w:val="008B2ABC"/>
    <w:rsid w:val="00930401"/>
    <w:rsid w:val="00934FD1"/>
    <w:rsid w:val="0093749D"/>
    <w:rsid w:val="00963E97"/>
    <w:rsid w:val="00971781"/>
    <w:rsid w:val="00973962"/>
    <w:rsid w:val="009A228C"/>
    <w:rsid w:val="009F1DB0"/>
    <w:rsid w:val="00A15F73"/>
    <w:rsid w:val="00A522C7"/>
    <w:rsid w:val="00A62132"/>
    <w:rsid w:val="00A62A9C"/>
    <w:rsid w:val="00A76629"/>
    <w:rsid w:val="00A768B8"/>
    <w:rsid w:val="00A952E7"/>
    <w:rsid w:val="00AB160F"/>
    <w:rsid w:val="00AF6541"/>
    <w:rsid w:val="00B35328"/>
    <w:rsid w:val="00B43D85"/>
    <w:rsid w:val="00BA7900"/>
    <w:rsid w:val="00BB5ED9"/>
    <w:rsid w:val="00BE4C5C"/>
    <w:rsid w:val="00BF02B2"/>
    <w:rsid w:val="00C45ABA"/>
    <w:rsid w:val="00C5237E"/>
    <w:rsid w:val="00C57878"/>
    <w:rsid w:val="00C968D0"/>
    <w:rsid w:val="00CB292B"/>
    <w:rsid w:val="00CC1B60"/>
    <w:rsid w:val="00CC52EF"/>
    <w:rsid w:val="00CD328F"/>
    <w:rsid w:val="00CE77E0"/>
    <w:rsid w:val="00D44972"/>
    <w:rsid w:val="00DB1B58"/>
    <w:rsid w:val="00DD286C"/>
    <w:rsid w:val="00E25128"/>
    <w:rsid w:val="00E5333D"/>
    <w:rsid w:val="00E6154C"/>
    <w:rsid w:val="00E64D05"/>
    <w:rsid w:val="00E86EE5"/>
    <w:rsid w:val="00E8756C"/>
    <w:rsid w:val="00EC5B11"/>
    <w:rsid w:val="00EE143F"/>
    <w:rsid w:val="00F16000"/>
    <w:rsid w:val="00F16984"/>
    <w:rsid w:val="00F27FB4"/>
    <w:rsid w:val="00F30C3C"/>
    <w:rsid w:val="00FB13AE"/>
    <w:rsid w:val="00FB312C"/>
    <w:rsid w:val="00FB699C"/>
    <w:rsid w:val="00FC627E"/>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63E97"/>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963E97"/>
    <w:rPr>
      <w:sz w:val="18"/>
      <w:szCs w:val="18"/>
    </w:rPr>
  </w:style>
  <w:style w:type="paragraph" w:styleId="a5">
    <w:name w:val="footer"/>
    <w:basedOn w:val="a"/>
    <w:link w:val="Char0"/>
    <w:uiPriority w:val="99"/>
    <w:unhideWhenUsed/>
    <w:qFormat/>
    <w:rsid w:val="00963E9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963E97"/>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963E97"/>
    <w:rPr>
      <w:color w:val="0563C1" w:themeColor="hyperlink"/>
      <w:u w:val="single"/>
    </w:rPr>
  </w:style>
  <w:style w:type="character" w:customStyle="1" w:styleId="Char1">
    <w:name w:val="页眉 Char"/>
    <w:basedOn w:val="a0"/>
    <w:link w:val="a6"/>
    <w:uiPriority w:val="99"/>
    <w:qFormat/>
    <w:rsid w:val="00963E97"/>
    <w:rPr>
      <w:sz w:val="18"/>
      <w:szCs w:val="18"/>
    </w:rPr>
  </w:style>
  <w:style w:type="character" w:customStyle="1" w:styleId="Char0">
    <w:name w:val="页脚 Char"/>
    <w:basedOn w:val="a0"/>
    <w:link w:val="a5"/>
    <w:uiPriority w:val="99"/>
    <w:qFormat/>
    <w:rsid w:val="00963E97"/>
    <w:rPr>
      <w:sz w:val="18"/>
      <w:szCs w:val="18"/>
    </w:rPr>
  </w:style>
  <w:style w:type="paragraph" w:styleId="a8">
    <w:name w:val="List Paragraph"/>
    <w:basedOn w:val="a"/>
    <w:uiPriority w:val="34"/>
    <w:qFormat/>
    <w:rsid w:val="00963E97"/>
    <w:pPr>
      <w:ind w:firstLineChars="200" w:firstLine="420"/>
    </w:pPr>
  </w:style>
  <w:style w:type="character" w:customStyle="1" w:styleId="Char">
    <w:name w:val="批注框文本 Char"/>
    <w:basedOn w:val="a0"/>
    <w:link w:val="a4"/>
    <w:uiPriority w:val="99"/>
    <w:semiHidden/>
    <w:qFormat/>
    <w:rsid w:val="00963E97"/>
    <w:rPr>
      <w:sz w:val="18"/>
      <w:szCs w:val="18"/>
    </w:rPr>
  </w:style>
  <w:style w:type="character" w:customStyle="1" w:styleId="Mention">
    <w:name w:val="Mention"/>
    <w:basedOn w:val="a0"/>
    <w:uiPriority w:val="99"/>
    <w:semiHidden/>
    <w:unhideWhenUsed/>
    <w:qFormat/>
    <w:rsid w:val="00963E97"/>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597063272">
      <w:bodyDiv w:val="1"/>
      <w:marLeft w:val="0"/>
      <w:marRight w:val="0"/>
      <w:marTop w:val="0"/>
      <w:marBottom w:val="0"/>
      <w:divBdr>
        <w:top w:val="none" w:sz="0" w:space="0" w:color="auto"/>
        <w:left w:val="none" w:sz="0" w:space="0" w:color="auto"/>
        <w:bottom w:val="none" w:sz="0" w:space="0" w:color="auto"/>
        <w:right w:val="none" w:sz="0" w:space="0" w:color="auto"/>
      </w:divBdr>
    </w:div>
    <w:div w:id="756563309">
      <w:bodyDiv w:val="1"/>
      <w:marLeft w:val="0"/>
      <w:marRight w:val="0"/>
      <w:marTop w:val="0"/>
      <w:marBottom w:val="0"/>
      <w:divBdr>
        <w:top w:val="none" w:sz="0" w:space="0" w:color="auto"/>
        <w:left w:val="none" w:sz="0" w:space="0" w:color="auto"/>
        <w:bottom w:val="none" w:sz="0" w:space="0" w:color="auto"/>
        <w:right w:val="none" w:sz="0" w:space="0" w:color="auto"/>
      </w:divBdr>
    </w:div>
    <w:div w:id="800080499">
      <w:bodyDiv w:val="1"/>
      <w:marLeft w:val="0"/>
      <w:marRight w:val="0"/>
      <w:marTop w:val="0"/>
      <w:marBottom w:val="0"/>
      <w:divBdr>
        <w:top w:val="none" w:sz="0" w:space="0" w:color="auto"/>
        <w:left w:val="none" w:sz="0" w:space="0" w:color="auto"/>
        <w:bottom w:val="none" w:sz="0" w:space="0" w:color="auto"/>
        <w:right w:val="none" w:sz="0" w:space="0" w:color="auto"/>
      </w:divBdr>
    </w:div>
    <w:div w:id="924149996">
      <w:bodyDiv w:val="1"/>
      <w:marLeft w:val="0"/>
      <w:marRight w:val="0"/>
      <w:marTop w:val="0"/>
      <w:marBottom w:val="0"/>
      <w:divBdr>
        <w:top w:val="none" w:sz="0" w:space="0" w:color="auto"/>
        <w:left w:val="none" w:sz="0" w:space="0" w:color="auto"/>
        <w:bottom w:val="none" w:sz="0" w:space="0" w:color="auto"/>
        <w:right w:val="none" w:sz="0" w:space="0" w:color="auto"/>
      </w:divBdr>
    </w:div>
    <w:div w:id="1029379352">
      <w:bodyDiv w:val="1"/>
      <w:marLeft w:val="0"/>
      <w:marRight w:val="0"/>
      <w:marTop w:val="0"/>
      <w:marBottom w:val="0"/>
      <w:divBdr>
        <w:top w:val="none" w:sz="0" w:space="0" w:color="auto"/>
        <w:left w:val="none" w:sz="0" w:space="0" w:color="auto"/>
        <w:bottom w:val="none" w:sz="0" w:space="0" w:color="auto"/>
        <w:right w:val="none" w:sz="0" w:space="0" w:color="auto"/>
      </w:divBdr>
    </w:div>
    <w:div w:id="1403988956">
      <w:bodyDiv w:val="1"/>
      <w:marLeft w:val="0"/>
      <w:marRight w:val="0"/>
      <w:marTop w:val="0"/>
      <w:marBottom w:val="0"/>
      <w:divBdr>
        <w:top w:val="none" w:sz="0" w:space="0" w:color="auto"/>
        <w:left w:val="none" w:sz="0" w:space="0" w:color="auto"/>
        <w:bottom w:val="none" w:sz="0" w:space="0" w:color="auto"/>
        <w:right w:val="none" w:sz="0" w:space="0" w:color="auto"/>
      </w:divBdr>
    </w:div>
    <w:div w:id="1480535133">
      <w:bodyDiv w:val="1"/>
      <w:marLeft w:val="0"/>
      <w:marRight w:val="0"/>
      <w:marTop w:val="0"/>
      <w:marBottom w:val="0"/>
      <w:divBdr>
        <w:top w:val="none" w:sz="0" w:space="0" w:color="auto"/>
        <w:left w:val="none" w:sz="0" w:space="0" w:color="auto"/>
        <w:bottom w:val="none" w:sz="0" w:space="0" w:color="auto"/>
        <w:right w:val="none" w:sz="0" w:space="0" w:color="auto"/>
      </w:divBdr>
    </w:div>
    <w:div w:id="1647663347">
      <w:bodyDiv w:val="1"/>
      <w:marLeft w:val="0"/>
      <w:marRight w:val="0"/>
      <w:marTop w:val="0"/>
      <w:marBottom w:val="0"/>
      <w:divBdr>
        <w:top w:val="none" w:sz="0" w:space="0" w:color="auto"/>
        <w:left w:val="none" w:sz="0" w:space="0" w:color="auto"/>
        <w:bottom w:val="none" w:sz="0" w:space="0" w:color="auto"/>
        <w:right w:val="none" w:sz="0" w:space="0" w:color="auto"/>
      </w:divBdr>
    </w:div>
    <w:div w:id="1835795846">
      <w:bodyDiv w:val="1"/>
      <w:marLeft w:val="0"/>
      <w:marRight w:val="0"/>
      <w:marTop w:val="0"/>
      <w:marBottom w:val="0"/>
      <w:divBdr>
        <w:top w:val="none" w:sz="0" w:space="0" w:color="auto"/>
        <w:left w:val="none" w:sz="0" w:space="0" w:color="auto"/>
        <w:bottom w:val="none" w:sz="0" w:space="0" w:color="auto"/>
        <w:right w:val="none" w:sz="0" w:space="0" w:color="auto"/>
      </w:divBdr>
    </w:div>
    <w:div w:id="2018341081">
      <w:bodyDiv w:val="1"/>
      <w:marLeft w:val="0"/>
      <w:marRight w:val="0"/>
      <w:marTop w:val="0"/>
      <w:marBottom w:val="0"/>
      <w:divBdr>
        <w:top w:val="none" w:sz="0" w:space="0" w:color="auto"/>
        <w:left w:val="none" w:sz="0" w:space="0" w:color="auto"/>
        <w:bottom w:val="none" w:sz="0" w:space="0" w:color="auto"/>
        <w:right w:val="none" w:sz="0" w:space="0" w:color="auto"/>
      </w:divBdr>
    </w:div>
    <w:div w:id="2138062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C4719-01D1-4AD6-9414-26E324A1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370</Words>
  <Characters>2115</Characters>
  <Application>Microsoft Office Word</Application>
  <DocSecurity>0</DocSecurity>
  <Lines>17</Lines>
  <Paragraphs>4</Paragraphs>
  <ScaleCrop>false</ScaleCrop>
  <Company>微软中国</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4</cp:revision>
  <dcterms:created xsi:type="dcterms:W3CDTF">2020-05-24T01:37:00Z</dcterms:created>
  <dcterms:modified xsi:type="dcterms:W3CDTF">2020-05-24T02:03:00Z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